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86A8" w14:textId="77777777" w:rsidR="00403DF2" w:rsidRDefault="00403DF2">
      <w:pPr>
        <w:pBdr>
          <w:top w:val="nil"/>
          <w:left w:val="nil"/>
          <w:bottom w:val="nil"/>
          <w:right w:val="nil"/>
          <w:between w:val="nil"/>
        </w:pBdr>
        <w:spacing w:line="240" w:lineRule="auto"/>
        <w:ind w:left="1" w:hanging="3"/>
        <w:rPr>
          <w:b/>
          <w:color w:val="000000"/>
          <w:sz w:val="28"/>
          <w:szCs w:val="28"/>
        </w:rPr>
      </w:pPr>
    </w:p>
    <w:p w14:paraId="1317BAB8" w14:textId="77777777" w:rsidR="00403DF2" w:rsidRDefault="00000000">
      <w:pPr>
        <w:pBdr>
          <w:top w:val="nil"/>
          <w:left w:val="nil"/>
          <w:bottom w:val="nil"/>
          <w:right w:val="nil"/>
          <w:between w:val="nil"/>
        </w:pBdr>
        <w:spacing w:line="240" w:lineRule="auto"/>
        <w:ind w:left="1" w:hanging="3"/>
        <w:jc w:val="center"/>
        <w:rPr>
          <w:color w:val="000000"/>
          <w:sz w:val="28"/>
          <w:szCs w:val="28"/>
        </w:rPr>
      </w:pPr>
      <w:r>
        <w:rPr>
          <w:b/>
          <w:color w:val="000000"/>
          <w:sz w:val="28"/>
          <w:szCs w:val="28"/>
        </w:rPr>
        <w:t>POZVÁNKA NA VALNOU HROMADU</w:t>
      </w:r>
    </w:p>
    <w:p w14:paraId="1062D699" w14:textId="77777777" w:rsidR="00403DF2" w:rsidRDefault="00000000">
      <w:pPr>
        <w:pBdr>
          <w:top w:val="nil"/>
          <w:left w:val="nil"/>
          <w:bottom w:val="nil"/>
          <w:right w:val="nil"/>
          <w:between w:val="nil"/>
        </w:pBdr>
        <w:tabs>
          <w:tab w:val="left" w:pos="1134"/>
        </w:tabs>
        <w:spacing w:before="120" w:after="120" w:line="240" w:lineRule="auto"/>
        <w:ind w:left="0" w:hanging="2"/>
        <w:jc w:val="center"/>
        <w:rPr>
          <w:color w:val="000000"/>
          <w:sz w:val="24"/>
          <w:szCs w:val="24"/>
        </w:rPr>
      </w:pPr>
      <w:r>
        <w:rPr>
          <w:color w:val="000000"/>
          <w:sz w:val="24"/>
          <w:szCs w:val="24"/>
        </w:rPr>
        <w:t>společnosti</w:t>
      </w:r>
    </w:p>
    <w:p w14:paraId="3ACF7670" w14:textId="77777777" w:rsidR="00403DF2" w:rsidRDefault="00000000">
      <w:pPr>
        <w:pBdr>
          <w:top w:val="nil"/>
          <w:left w:val="nil"/>
          <w:bottom w:val="nil"/>
          <w:right w:val="nil"/>
          <w:between w:val="nil"/>
        </w:pBdr>
        <w:tabs>
          <w:tab w:val="left" w:pos="1134"/>
        </w:tabs>
        <w:spacing w:before="120" w:after="120" w:line="240" w:lineRule="auto"/>
        <w:ind w:left="0" w:hanging="2"/>
        <w:jc w:val="center"/>
        <w:rPr>
          <w:color w:val="000000"/>
          <w:sz w:val="24"/>
          <w:szCs w:val="24"/>
        </w:rPr>
      </w:pPr>
      <w:r>
        <w:rPr>
          <w:color w:val="000000"/>
          <w:sz w:val="24"/>
          <w:szCs w:val="24"/>
        </w:rPr>
        <w:t>Servisní společnost odpady Olomouckého kraje, a.s.,</w:t>
      </w:r>
    </w:p>
    <w:p w14:paraId="43FF6BC5" w14:textId="77777777" w:rsidR="00403DF2" w:rsidRDefault="00000000">
      <w:pPr>
        <w:pBdr>
          <w:top w:val="nil"/>
          <w:left w:val="nil"/>
          <w:bottom w:val="nil"/>
          <w:right w:val="nil"/>
          <w:between w:val="nil"/>
        </w:pBdr>
        <w:tabs>
          <w:tab w:val="left" w:pos="1134"/>
        </w:tabs>
        <w:spacing w:before="120" w:after="120" w:line="240" w:lineRule="auto"/>
        <w:ind w:left="0" w:hanging="2"/>
        <w:jc w:val="center"/>
        <w:rPr>
          <w:color w:val="000000"/>
          <w:sz w:val="24"/>
          <w:szCs w:val="24"/>
        </w:rPr>
      </w:pPr>
      <w:r>
        <w:rPr>
          <w:color w:val="000000"/>
          <w:sz w:val="24"/>
          <w:szCs w:val="24"/>
        </w:rPr>
        <w:t>se sídlem Jeremenkova 1191/40a, Hodolany, 779 00 Olomouc</w:t>
      </w:r>
    </w:p>
    <w:p w14:paraId="38D6508A" w14:textId="77777777" w:rsidR="00403DF2" w:rsidRDefault="00000000">
      <w:pPr>
        <w:pBdr>
          <w:top w:val="nil"/>
          <w:left w:val="nil"/>
          <w:bottom w:val="nil"/>
          <w:right w:val="nil"/>
          <w:between w:val="nil"/>
        </w:pBdr>
        <w:tabs>
          <w:tab w:val="left" w:pos="1134"/>
        </w:tabs>
        <w:spacing w:before="120" w:after="120" w:line="240" w:lineRule="auto"/>
        <w:ind w:left="0" w:hanging="2"/>
        <w:jc w:val="center"/>
        <w:rPr>
          <w:color w:val="000000"/>
          <w:sz w:val="24"/>
          <w:szCs w:val="24"/>
        </w:rPr>
      </w:pPr>
      <w:r>
        <w:rPr>
          <w:color w:val="000000"/>
          <w:sz w:val="24"/>
          <w:szCs w:val="24"/>
        </w:rPr>
        <w:t>IČO 076 86 501</w:t>
      </w:r>
    </w:p>
    <w:p w14:paraId="10DC8E29" w14:textId="77777777" w:rsidR="00403DF2" w:rsidRDefault="00000000">
      <w:pPr>
        <w:pBdr>
          <w:top w:val="nil"/>
          <w:left w:val="nil"/>
          <w:bottom w:val="nil"/>
          <w:right w:val="nil"/>
          <w:between w:val="nil"/>
        </w:pBdr>
        <w:tabs>
          <w:tab w:val="left" w:pos="1134"/>
        </w:tabs>
        <w:spacing w:before="120" w:after="120" w:line="240" w:lineRule="auto"/>
        <w:ind w:left="0" w:hanging="2"/>
        <w:jc w:val="center"/>
        <w:rPr>
          <w:color w:val="000000"/>
          <w:sz w:val="24"/>
          <w:szCs w:val="24"/>
        </w:rPr>
      </w:pPr>
      <w:r>
        <w:rPr>
          <w:color w:val="000000"/>
          <w:sz w:val="24"/>
          <w:szCs w:val="24"/>
        </w:rPr>
        <w:t xml:space="preserve">zapsané v obchodním rejstříku vedeném Krajským soudem v Ostravě, v odd. a </w:t>
      </w:r>
      <w:proofErr w:type="spellStart"/>
      <w:r>
        <w:rPr>
          <w:color w:val="000000"/>
          <w:sz w:val="24"/>
          <w:szCs w:val="24"/>
        </w:rPr>
        <w:t>vl</w:t>
      </w:r>
      <w:proofErr w:type="spellEnd"/>
      <w:r>
        <w:rPr>
          <w:color w:val="000000"/>
          <w:sz w:val="24"/>
          <w:szCs w:val="24"/>
        </w:rPr>
        <w:t>. B 11088</w:t>
      </w:r>
    </w:p>
    <w:p w14:paraId="78466E11" w14:textId="77777777" w:rsidR="00403DF2" w:rsidRDefault="00000000">
      <w:pPr>
        <w:pBdr>
          <w:top w:val="nil"/>
          <w:left w:val="nil"/>
          <w:bottom w:val="nil"/>
          <w:right w:val="nil"/>
          <w:between w:val="nil"/>
        </w:pBdr>
        <w:tabs>
          <w:tab w:val="left" w:pos="1134"/>
        </w:tabs>
        <w:spacing w:before="120" w:after="120" w:line="240" w:lineRule="auto"/>
        <w:ind w:left="0" w:hanging="2"/>
        <w:jc w:val="center"/>
        <w:rPr>
          <w:color w:val="000000"/>
          <w:sz w:val="24"/>
          <w:szCs w:val="24"/>
        </w:rPr>
      </w:pPr>
      <w:r>
        <w:rPr>
          <w:color w:val="000000"/>
          <w:sz w:val="24"/>
          <w:szCs w:val="24"/>
        </w:rPr>
        <w:t>(dále jen „</w:t>
      </w:r>
      <w:r>
        <w:rPr>
          <w:b/>
          <w:color w:val="000000"/>
          <w:sz w:val="24"/>
          <w:szCs w:val="24"/>
        </w:rPr>
        <w:t>společnost</w:t>
      </w:r>
      <w:r>
        <w:rPr>
          <w:color w:val="000000"/>
          <w:sz w:val="24"/>
          <w:szCs w:val="24"/>
        </w:rPr>
        <w:t>“)</w:t>
      </w:r>
    </w:p>
    <w:p w14:paraId="40F984B3" w14:textId="77777777" w:rsidR="00403DF2" w:rsidRDefault="00403DF2">
      <w:pPr>
        <w:pBdr>
          <w:top w:val="nil"/>
          <w:left w:val="nil"/>
          <w:bottom w:val="nil"/>
          <w:right w:val="nil"/>
          <w:between w:val="nil"/>
        </w:pBdr>
        <w:tabs>
          <w:tab w:val="left" w:pos="1134"/>
        </w:tabs>
        <w:spacing w:before="120" w:after="120" w:line="240" w:lineRule="auto"/>
        <w:ind w:left="0" w:hanging="2"/>
        <w:jc w:val="both"/>
        <w:rPr>
          <w:color w:val="000000"/>
          <w:sz w:val="24"/>
          <w:szCs w:val="24"/>
        </w:rPr>
      </w:pPr>
    </w:p>
    <w:p w14:paraId="3F64B10D" w14:textId="77777777" w:rsidR="00403DF2" w:rsidRDefault="00000000">
      <w:pPr>
        <w:pBdr>
          <w:top w:val="nil"/>
          <w:left w:val="nil"/>
          <w:bottom w:val="nil"/>
          <w:right w:val="nil"/>
          <w:between w:val="nil"/>
        </w:pBdr>
        <w:tabs>
          <w:tab w:val="left" w:pos="1134"/>
        </w:tabs>
        <w:spacing w:before="120" w:after="120" w:line="276" w:lineRule="auto"/>
        <w:ind w:left="0" w:hanging="2"/>
        <w:jc w:val="both"/>
        <w:rPr>
          <w:color w:val="000000"/>
          <w:sz w:val="24"/>
          <w:szCs w:val="24"/>
        </w:rPr>
      </w:pPr>
      <w:r>
        <w:rPr>
          <w:color w:val="000000"/>
          <w:sz w:val="24"/>
          <w:szCs w:val="24"/>
        </w:rPr>
        <w:t>Představenstvo společnosti v souladu s ustanovením § 402 zákona č. 90/2012 Sb., zákon o obchodních korporacích, dále jen „</w:t>
      </w:r>
      <w:r>
        <w:rPr>
          <w:b/>
          <w:color w:val="000000"/>
          <w:sz w:val="24"/>
          <w:szCs w:val="24"/>
        </w:rPr>
        <w:t>ZOK</w:t>
      </w:r>
      <w:r>
        <w:rPr>
          <w:color w:val="000000"/>
          <w:sz w:val="24"/>
          <w:szCs w:val="24"/>
        </w:rPr>
        <w:t>“)</w:t>
      </w:r>
    </w:p>
    <w:p w14:paraId="14E91A64" w14:textId="77777777" w:rsidR="00403DF2" w:rsidRDefault="00403DF2">
      <w:pPr>
        <w:pBdr>
          <w:top w:val="nil"/>
          <w:left w:val="nil"/>
          <w:bottom w:val="nil"/>
          <w:right w:val="nil"/>
          <w:between w:val="nil"/>
        </w:pBdr>
        <w:tabs>
          <w:tab w:val="left" w:pos="1134"/>
        </w:tabs>
        <w:spacing w:before="120" w:after="120" w:line="276" w:lineRule="auto"/>
        <w:ind w:left="0" w:hanging="2"/>
        <w:jc w:val="both"/>
        <w:rPr>
          <w:color w:val="000000"/>
          <w:sz w:val="24"/>
          <w:szCs w:val="24"/>
        </w:rPr>
      </w:pPr>
    </w:p>
    <w:p w14:paraId="4DA61990" w14:textId="77777777" w:rsidR="00403DF2" w:rsidRDefault="00000000">
      <w:pPr>
        <w:pBdr>
          <w:top w:val="nil"/>
          <w:left w:val="nil"/>
          <w:bottom w:val="nil"/>
          <w:right w:val="nil"/>
          <w:between w:val="nil"/>
        </w:pBdr>
        <w:tabs>
          <w:tab w:val="left" w:pos="1134"/>
        </w:tabs>
        <w:spacing w:before="120" w:after="120" w:line="276" w:lineRule="auto"/>
        <w:ind w:left="0" w:hanging="2"/>
        <w:jc w:val="center"/>
        <w:rPr>
          <w:color w:val="000000"/>
          <w:sz w:val="24"/>
          <w:szCs w:val="24"/>
        </w:rPr>
      </w:pPr>
      <w:r>
        <w:rPr>
          <w:color w:val="000000"/>
          <w:sz w:val="24"/>
          <w:szCs w:val="24"/>
        </w:rPr>
        <w:t>svolává</w:t>
      </w:r>
    </w:p>
    <w:p w14:paraId="782F7BBB" w14:textId="77777777" w:rsidR="00403DF2" w:rsidRDefault="00000000">
      <w:pPr>
        <w:pBdr>
          <w:top w:val="nil"/>
          <w:left w:val="nil"/>
          <w:bottom w:val="nil"/>
          <w:right w:val="nil"/>
          <w:between w:val="nil"/>
        </w:pBdr>
        <w:tabs>
          <w:tab w:val="left" w:pos="1134"/>
        </w:tabs>
        <w:spacing w:before="120" w:after="120" w:line="276" w:lineRule="auto"/>
        <w:ind w:left="0" w:hanging="2"/>
        <w:jc w:val="center"/>
        <w:rPr>
          <w:color w:val="000000"/>
          <w:sz w:val="24"/>
          <w:szCs w:val="24"/>
        </w:rPr>
      </w:pPr>
      <w:r>
        <w:rPr>
          <w:color w:val="000000"/>
          <w:sz w:val="24"/>
          <w:szCs w:val="24"/>
        </w:rPr>
        <w:t>ŘÁDNOU VALNOU HROMADU SPOLEČNOSTI</w:t>
      </w:r>
    </w:p>
    <w:p w14:paraId="50AAADA4" w14:textId="77777777" w:rsidR="00403DF2" w:rsidRDefault="00403DF2">
      <w:pPr>
        <w:pBdr>
          <w:top w:val="nil"/>
          <w:left w:val="nil"/>
          <w:bottom w:val="nil"/>
          <w:right w:val="nil"/>
          <w:between w:val="nil"/>
        </w:pBdr>
        <w:spacing w:line="276" w:lineRule="auto"/>
        <w:ind w:left="0" w:hanging="2"/>
        <w:rPr>
          <w:color w:val="000000"/>
          <w:sz w:val="22"/>
          <w:szCs w:val="22"/>
        </w:rPr>
      </w:pPr>
    </w:p>
    <w:p w14:paraId="3ED45E65" w14:textId="77777777" w:rsidR="00403DF2"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která se bude konat dne  29. 6. 2022 od 10 hod. v budově Magistrátu města Olomouc na adrese Hynaisova 34/10, 77900 Olomouc, </w:t>
      </w:r>
    </w:p>
    <w:p w14:paraId="74361F28" w14:textId="77777777" w:rsidR="00403DF2" w:rsidRDefault="00403DF2">
      <w:pPr>
        <w:pBdr>
          <w:top w:val="nil"/>
          <w:left w:val="nil"/>
          <w:bottom w:val="nil"/>
          <w:right w:val="nil"/>
          <w:between w:val="nil"/>
        </w:pBdr>
        <w:spacing w:line="276" w:lineRule="auto"/>
        <w:ind w:left="0" w:hanging="2"/>
        <w:rPr>
          <w:color w:val="000000"/>
          <w:sz w:val="24"/>
          <w:szCs w:val="24"/>
        </w:rPr>
      </w:pPr>
    </w:p>
    <w:p w14:paraId="5B5632E5" w14:textId="77777777" w:rsidR="00403DF2" w:rsidRDefault="00403DF2">
      <w:pPr>
        <w:pBdr>
          <w:top w:val="nil"/>
          <w:left w:val="nil"/>
          <w:bottom w:val="nil"/>
          <w:right w:val="nil"/>
          <w:between w:val="nil"/>
        </w:pBdr>
        <w:spacing w:line="276" w:lineRule="auto"/>
        <w:ind w:left="0" w:hanging="2"/>
        <w:rPr>
          <w:color w:val="000000"/>
          <w:sz w:val="24"/>
          <w:szCs w:val="24"/>
        </w:rPr>
      </w:pPr>
    </w:p>
    <w:p w14:paraId="14EB74A7" w14:textId="77777777" w:rsidR="00403DF2" w:rsidRDefault="00000000">
      <w:pPr>
        <w:pBdr>
          <w:top w:val="nil"/>
          <w:left w:val="nil"/>
          <w:bottom w:val="nil"/>
          <w:right w:val="nil"/>
          <w:between w:val="nil"/>
        </w:pBdr>
        <w:spacing w:line="276" w:lineRule="auto"/>
        <w:ind w:left="0" w:hanging="2"/>
        <w:rPr>
          <w:color w:val="000000"/>
          <w:sz w:val="24"/>
          <w:szCs w:val="24"/>
        </w:rPr>
      </w:pPr>
      <w:r>
        <w:rPr>
          <w:b/>
          <w:color w:val="000000"/>
          <w:sz w:val="24"/>
          <w:szCs w:val="24"/>
        </w:rPr>
        <w:t>Pořad jednání valné hromady:</w:t>
      </w:r>
    </w:p>
    <w:p w14:paraId="27E6EF01"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Zahájení a úvodní procedurální jednání, schválení jednacího řádu</w:t>
      </w:r>
    </w:p>
    <w:p w14:paraId="616BC603"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Prezentace výsledků analýzy odpadového hospodářství v Olomouckém kraji spolu s návrhem zařízení, které je potřeba vybudovat v Olomouckém kraji</w:t>
      </w:r>
    </w:p>
    <w:p w14:paraId="7E985A52"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Hlasování o dalším postupu Servisní společnosti odpady Olomouckého kraje, a.s. ve věci předávání odpadů do krajské odpadové infrastruktury a tedy dalšího pokračování projektu odpadové infrastruktury Olomouckého kraje  </w:t>
      </w:r>
    </w:p>
    <w:p w14:paraId="35CDF7F2" w14:textId="42C1F465" w:rsidR="00403DF2" w:rsidRDefault="00F13F2D">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Informace ke smlouvě budoucí na předání odpadu od akcionářů</w:t>
      </w:r>
    </w:p>
    <w:p w14:paraId="39ADD801"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Informace o plánovaném prodeji akcií novým akcionářům a informace o modelu přijímání nových akcionářů</w:t>
      </w:r>
    </w:p>
    <w:p w14:paraId="5D447714"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Přednes zprávy představenstva společnosti o podnikatelské činnosti a o stavu majetku, a účetní závěrky za rok 2021 včetně návrhu na rozdělení zisku, přednes zprávy o vztazích</w:t>
      </w:r>
      <w:r>
        <w:rPr>
          <w:color w:val="548DD4"/>
          <w:sz w:val="24"/>
          <w:szCs w:val="24"/>
        </w:rPr>
        <w:t xml:space="preserve"> </w:t>
      </w:r>
    </w:p>
    <w:p w14:paraId="26991681"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Přednes zprávy o činnosti dozorčí rady, přednes zprávy dozorčí rady o přezkoumání zprávy představenstva společnosti o podnikatelské činnosti a o stavu majetku, přednes vyjádření dozorčí rady k účetní závěrce a návrhu na rozdělení zisku za rok 2021, přednes vyjádření dozorčí rady ke zprávě o vztazích</w:t>
      </w:r>
    </w:p>
    <w:p w14:paraId="5A011D57" w14:textId="77777777" w:rsidR="00403DF2" w:rsidRDefault="00000000">
      <w:pPr>
        <w:numPr>
          <w:ilvl w:val="0"/>
          <w:numId w:val="1"/>
        </w:numPr>
        <w:pBdr>
          <w:top w:val="nil"/>
          <w:left w:val="nil"/>
          <w:bottom w:val="nil"/>
          <w:right w:val="nil"/>
          <w:between w:val="nil"/>
        </w:pBdr>
        <w:spacing w:line="276" w:lineRule="auto"/>
        <w:ind w:left="0" w:hanging="2"/>
        <w:jc w:val="both"/>
        <w:rPr>
          <w:color w:val="000000"/>
          <w:sz w:val="24"/>
          <w:szCs w:val="24"/>
        </w:rPr>
      </w:pPr>
      <w:r>
        <w:rPr>
          <w:color w:val="000000"/>
          <w:sz w:val="24"/>
          <w:szCs w:val="24"/>
        </w:rPr>
        <w:t>Schválení roční účetní závěrky a návrhu na rozdělení zisku za rok 2021</w:t>
      </w:r>
    </w:p>
    <w:p w14:paraId="77CF8192" w14:textId="77777777" w:rsidR="00403DF2" w:rsidRDefault="00000000">
      <w:pPr>
        <w:numPr>
          <w:ilvl w:val="0"/>
          <w:numId w:val="1"/>
        </w:numPr>
        <w:pBdr>
          <w:top w:val="nil"/>
          <w:left w:val="nil"/>
          <w:bottom w:val="nil"/>
          <w:right w:val="nil"/>
          <w:between w:val="nil"/>
        </w:pBdr>
        <w:spacing w:after="200" w:line="276" w:lineRule="auto"/>
        <w:ind w:left="0" w:hanging="2"/>
        <w:jc w:val="both"/>
        <w:rPr>
          <w:color w:val="000000"/>
          <w:sz w:val="24"/>
          <w:szCs w:val="24"/>
        </w:rPr>
      </w:pPr>
      <w:r>
        <w:rPr>
          <w:color w:val="000000"/>
          <w:sz w:val="24"/>
          <w:szCs w:val="24"/>
        </w:rPr>
        <w:t>Usnesení a závěr</w:t>
      </w:r>
    </w:p>
    <w:p w14:paraId="6EAABE9D"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Prezence účastníků valné hromady proběhne v místě jejího konání téhož dne od 9:30 hod. Rozhodným dnem pro účast akcionáře na valné hromadě je sedmý den přede dnem konání této </w:t>
      </w:r>
      <w:r>
        <w:rPr>
          <w:color w:val="000000"/>
          <w:sz w:val="24"/>
          <w:szCs w:val="24"/>
        </w:rPr>
        <w:lastRenderedPageBreak/>
        <w:t>řádné valné hromady, tj. 22.6. Rozhodný den představuje okamžik, ke kterému se zjišťují akcionáři, kteří jsou oprávněni účastnit se valné hromady.</w:t>
      </w:r>
    </w:p>
    <w:p w14:paraId="275F818D"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Akcionář je na valné hromadě oprávněn hlasovat těmi hlasy, které odpovídají akciím vlastněným akcionářem k rozhodnému dni. Návrh usnesení valné hromady, jakož podklady uvedené v pořadu jednání valné hromady, jsou pro akcionáře k nahlédnutí v sídle společnosti v pracovních dnech ode dne publikace této pozvánky do dne konání valné hromady, a to vždy od 8.00 do 14.00 hodin. Tytéž dokumenty jsou dostupné ode dne publikace této pozvánky do dne konání valné hromady nepřetržitě na internetových stránkách společnosti </w:t>
      </w:r>
      <w:hyperlink r:id="rId6">
        <w:r>
          <w:rPr>
            <w:color w:val="0000FF"/>
            <w:sz w:val="24"/>
            <w:szCs w:val="24"/>
            <w:u w:val="single"/>
          </w:rPr>
          <w:t>https://www.servisniok.cz/</w:t>
        </w:r>
      </w:hyperlink>
      <w:r>
        <w:rPr>
          <w:color w:val="000000"/>
          <w:sz w:val="24"/>
          <w:szCs w:val="24"/>
        </w:rPr>
        <w:t>.</w:t>
      </w:r>
    </w:p>
    <w:p w14:paraId="15F9C316"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Návrh jednacího řádu řádné valné hromady obdrží její účastníci u prezence. Náklady spojené s účastí na valné hromadě nese akcionář.</w:t>
      </w:r>
    </w:p>
    <w:p w14:paraId="29BDD3B3"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Valná hromada je schopna usnášení jsou-li přítomni akcionáři mající akcie, jejichž jmenovitá hodnota přesahuje 30% základního kapitálu společnosti.  </w:t>
      </w:r>
    </w:p>
    <w:p w14:paraId="726F300C"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2E933B24"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Seznam zkratek:</w:t>
      </w:r>
    </w:p>
    <w:p w14:paraId="61509471"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SSOOK – Servisní společnost odpady Olomouckého kraje, a.s.</w:t>
      </w:r>
    </w:p>
    <w:p w14:paraId="6B5B8E03"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3263F690"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b/>
          <w:color w:val="000000"/>
          <w:sz w:val="24"/>
          <w:szCs w:val="24"/>
        </w:rPr>
        <w:t>Odůvodnění k pořadu jednání:</w:t>
      </w:r>
    </w:p>
    <w:p w14:paraId="3FF6B453"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7670AEF6"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b/>
          <w:color w:val="000000"/>
          <w:sz w:val="24"/>
          <w:szCs w:val="24"/>
        </w:rPr>
        <w:t>K bodu 2</w:t>
      </w:r>
    </w:p>
    <w:p w14:paraId="5BF51943"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Prezentace výsledků rozboru potřeb akcionářů Servisní společnosti odpady Olomouckého kraje ve věci </w:t>
      </w:r>
      <w:proofErr w:type="spellStart"/>
      <w:r>
        <w:rPr>
          <w:color w:val="000000"/>
          <w:sz w:val="24"/>
          <w:szCs w:val="24"/>
        </w:rPr>
        <w:t>analýzi</w:t>
      </w:r>
      <w:proofErr w:type="spellEnd"/>
      <w:r>
        <w:rPr>
          <w:color w:val="000000"/>
          <w:sz w:val="24"/>
          <w:szCs w:val="24"/>
        </w:rPr>
        <w:t xml:space="preserve"> odpadového hospodářství v Olomouckém kraji. Prezentace bude obsahovat konkrétní budoucí infrastrukturu a jednotlivé prvky, které bude třeba vybudovat pro funkční krajskou odpadovou infrastruktur.</w:t>
      </w:r>
    </w:p>
    <w:p w14:paraId="64D70FF5" w14:textId="77777777" w:rsidR="00403DF2" w:rsidRDefault="00000000">
      <w:pPr>
        <w:pBdr>
          <w:top w:val="nil"/>
          <w:left w:val="nil"/>
          <w:bottom w:val="nil"/>
          <w:right w:val="nil"/>
          <w:between w:val="nil"/>
        </w:pBdr>
        <w:spacing w:after="200" w:line="276" w:lineRule="auto"/>
        <w:ind w:left="0" w:hanging="2"/>
        <w:jc w:val="both"/>
        <w:rPr>
          <w:color w:val="000000"/>
          <w:sz w:val="24"/>
          <w:szCs w:val="24"/>
        </w:rPr>
      </w:pPr>
      <w:r>
        <w:rPr>
          <w:color w:val="000000"/>
          <w:sz w:val="24"/>
          <w:szCs w:val="24"/>
        </w:rPr>
        <w:t>O bodě 2 se nehlasuje.</w:t>
      </w:r>
    </w:p>
    <w:p w14:paraId="298C0412" w14:textId="77777777" w:rsidR="00403DF2" w:rsidRDefault="00403DF2">
      <w:pPr>
        <w:pBdr>
          <w:top w:val="nil"/>
          <w:left w:val="nil"/>
          <w:bottom w:val="nil"/>
          <w:right w:val="nil"/>
          <w:between w:val="nil"/>
        </w:pBdr>
        <w:spacing w:after="200" w:line="276" w:lineRule="auto"/>
        <w:ind w:left="0" w:hanging="2"/>
        <w:jc w:val="both"/>
        <w:rPr>
          <w:color w:val="000000"/>
          <w:sz w:val="24"/>
          <w:szCs w:val="24"/>
        </w:rPr>
      </w:pPr>
    </w:p>
    <w:p w14:paraId="7B84E6C0" w14:textId="77777777" w:rsidR="00403DF2" w:rsidRDefault="00000000">
      <w:pPr>
        <w:pBdr>
          <w:top w:val="nil"/>
          <w:left w:val="nil"/>
          <w:bottom w:val="nil"/>
          <w:right w:val="nil"/>
          <w:between w:val="nil"/>
        </w:pBdr>
        <w:spacing w:line="276" w:lineRule="auto"/>
        <w:ind w:left="0" w:hanging="2"/>
        <w:jc w:val="both"/>
        <w:rPr>
          <w:b/>
          <w:color w:val="000000"/>
          <w:sz w:val="24"/>
          <w:szCs w:val="24"/>
        </w:rPr>
      </w:pPr>
      <w:r>
        <w:rPr>
          <w:b/>
          <w:color w:val="000000"/>
          <w:sz w:val="24"/>
          <w:szCs w:val="24"/>
        </w:rPr>
        <w:t>K bodu 3</w:t>
      </w:r>
    </w:p>
    <w:p w14:paraId="34954724"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Hlasování o dalším postupu Servisní společnosti Odpady Olomouckého kraje, a.s. ve věci předávání odpadů do krajské odpadové infrastruktury, a tedy dalšího pokračování projektu odpadové infrastruktury Olomouckého kraje.  </w:t>
      </w:r>
    </w:p>
    <w:p w14:paraId="5DD6FF6D"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Hlavním cílem valné hromady bude vyjasnění, zdali mají akcionáři zájem o pokračování projektu krajské odpadové infrastruktury v </w:t>
      </w:r>
      <w:proofErr w:type="spellStart"/>
      <w:r>
        <w:rPr>
          <w:color w:val="000000"/>
          <w:sz w:val="24"/>
          <w:szCs w:val="24"/>
        </w:rPr>
        <w:t>režiji</w:t>
      </w:r>
      <w:proofErr w:type="spellEnd"/>
      <w:r>
        <w:rPr>
          <w:color w:val="000000"/>
          <w:sz w:val="24"/>
          <w:szCs w:val="24"/>
        </w:rPr>
        <w:t xml:space="preserve"> SSOOK, nebo jestli se bude celý záměr řešit individuálně bez účasti SSOOK, čímž by zanikl smysl pro další pokračování této společnosti. Akcionář musí mít na paměti, že pokračování bude vyžadovat významný vklad kapitálu na vybudování odpadové infrastruktury. Zároveň berou na vědomí </w:t>
      </w:r>
      <w:proofErr w:type="spellStart"/>
      <w:r>
        <w:rPr>
          <w:color w:val="000000"/>
          <w:sz w:val="24"/>
          <w:szCs w:val="24"/>
        </w:rPr>
        <w:t>povinost</w:t>
      </w:r>
      <w:proofErr w:type="spellEnd"/>
      <w:r>
        <w:rPr>
          <w:color w:val="000000"/>
          <w:sz w:val="24"/>
          <w:szCs w:val="24"/>
        </w:rPr>
        <w:t xml:space="preserve"> podpisu smlouvy o smlouvě budoucí na předání </w:t>
      </w:r>
      <w:proofErr w:type="spellStart"/>
      <w:r>
        <w:rPr>
          <w:color w:val="000000"/>
          <w:sz w:val="24"/>
          <w:szCs w:val="24"/>
        </w:rPr>
        <w:t>odapu</w:t>
      </w:r>
      <w:proofErr w:type="spellEnd"/>
      <w:r>
        <w:rPr>
          <w:color w:val="000000"/>
          <w:sz w:val="24"/>
          <w:szCs w:val="24"/>
        </w:rPr>
        <w:t xml:space="preserve"> do krajské odpadové infrastruktury </w:t>
      </w:r>
      <w:r>
        <w:rPr>
          <w:sz w:val="24"/>
          <w:szCs w:val="24"/>
        </w:rPr>
        <w:t>do 31.2.2023,</w:t>
      </w:r>
      <w:r>
        <w:rPr>
          <w:color w:val="000000"/>
          <w:sz w:val="24"/>
          <w:szCs w:val="24"/>
        </w:rPr>
        <w:t xml:space="preserve"> který je nutným předpokladem pro žádost o dotaci. </w:t>
      </w:r>
      <w:r>
        <w:rPr>
          <w:sz w:val="24"/>
          <w:szCs w:val="24"/>
        </w:rPr>
        <w:t xml:space="preserve">Výše kapitálu, který bude třeba investovat do přípravy pro podání žádosti o dotaci a k ní </w:t>
      </w:r>
      <w:proofErr w:type="spellStart"/>
      <w:r>
        <w:rPr>
          <w:sz w:val="24"/>
          <w:szCs w:val="24"/>
        </w:rPr>
        <w:t>přislušných</w:t>
      </w:r>
      <w:proofErr w:type="spellEnd"/>
      <w:r>
        <w:rPr>
          <w:sz w:val="24"/>
          <w:szCs w:val="24"/>
        </w:rPr>
        <w:t xml:space="preserve"> dokumentů včetně územního rozhodnutí, EIA, a dalších se odhaduje na 4.500.000,- Kč. Konkrétní výše a rozklad ceny je přílohou pozvánky na valnou hromadu.</w:t>
      </w:r>
    </w:p>
    <w:p w14:paraId="1C11E027" w14:textId="77777777" w:rsidR="00403DF2" w:rsidRDefault="00000000">
      <w:pPr>
        <w:pBdr>
          <w:top w:val="nil"/>
          <w:left w:val="nil"/>
          <w:bottom w:val="nil"/>
          <w:right w:val="nil"/>
          <w:between w:val="nil"/>
        </w:pBdr>
        <w:tabs>
          <w:tab w:val="left" w:pos="1134"/>
        </w:tabs>
        <w:spacing w:before="120" w:after="120" w:line="240" w:lineRule="auto"/>
        <w:ind w:left="0" w:hanging="2"/>
        <w:jc w:val="both"/>
        <w:rPr>
          <w:color w:val="000000"/>
          <w:sz w:val="22"/>
          <w:szCs w:val="22"/>
        </w:rPr>
      </w:pPr>
      <w:r>
        <w:rPr>
          <w:b/>
          <w:color w:val="000000"/>
          <w:sz w:val="22"/>
          <w:szCs w:val="22"/>
        </w:rPr>
        <w:t>Návrh usnesení:</w:t>
      </w:r>
      <w:r>
        <w:rPr>
          <w:color w:val="000000"/>
          <w:sz w:val="22"/>
          <w:szCs w:val="22"/>
        </w:rPr>
        <w:t xml:space="preserve"> </w:t>
      </w:r>
    </w:p>
    <w:p w14:paraId="74D0ECB1" w14:textId="77777777" w:rsidR="00403DF2" w:rsidRDefault="00000000">
      <w:pPr>
        <w:pBdr>
          <w:top w:val="nil"/>
          <w:left w:val="nil"/>
          <w:bottom w:val="nil"/>
          <w:right w:val="nil"/>
          <w:between w:val="nil"/>
        </w:pBdr>
        <w:tabs>
          <w:tab w:val="left" w:pos="1134"/>
        </w:tabs>
        <w:spacing w:before="120" w:after="120" w:line="240" w:lineRule="auto"/>
        <w:ind w:left="0" w:hanging="2"/>
        <w:jc w:val="both"/>
        <w:rPr>
          <w:i/>
          <w:color w:val="000000"/>
          <w:sz w:val="22"/>
          <w:szCs w:val="22"/>
        </w:rPr>
      </w:pPr>
      <w:r>
        <w:rPr>
          <w:i/>
          <w:color w:val="000000"/>
          <w:sz w:val="22"/>
          <w:szCs w:val="22"/>
        </w:rPr>
        <w:t xml:space="preserve"> </w:t>
      </w:r>
    </w:p>
    <w:p w14:paraId="0E1528CE" w14:textId="77777777" w:rsidR="00403DF2" w:rsidRDefault="00000000">
      <w:pPr>
        <w:pBdr>
          <w:top w:val="nil"/>
          <w:left w:val="nil"/>
          <w:bottom w:val="nil"/>
          <w:right w:val="nil"/>
          <w:between w:val="nil"/>
        </w:pBdr>
        <w:tabs>
          <w:tab w:val="left" w:pos="1134"/>
        </w:tabs>
        <w:spacing w:before="120" w:after="120" w:line="240" w:lineRule="auto"/>
        <w:ind w:left="0" w:hanging="2"/>
        <w:jc w:val="both"/>
        <w:rPr>
          <w:i/>
          <w:color w:val="000000"/>
          <w:sz w:val="22"/>
          <w:szCs w:val="22"/>
        </w:rPr>
      </w:pPr>
      <w:r>
        <w:rPr>
          <w:i/>
          <w:color w:val="000000"/>
          <w:sz w:val="22"/>
          <w:szCs w:val="22"/>
        </w:rPr>
        <w:lastRenderedPageBreak/>
        <w:t>Valná hromada souhlasí s další pokračování projektu krajské odpadové infrastruktury, která bude zajišťována prostřednictvím společnosti Servisní společnost odpady Olomouckého kraje, a.s. Toto odsouhlasení je informativní pro představenstvo společnosti</w:t>
      </w:r>
    </w:p>
    <w:p w14:paraId="5CCB2CE4" w14:textId="77777777" w:rsidR="00403DF2" w:rsidRDefault="00403DF2">
      <w:pPr>
        <w:pBdr>
          <w:top w:val="nil"/>
          <w:left w:val="nil"/>
          <w:bottom w:val="nil"/>
          <w:right w:val="nil"/>
          <w:between w:val="nil"/>
        </w:pBdr>
        <w:tabs>
          <w:tab w:val="left" w:pos="1134"/>
        </w:tabs>
        <w:spacing w:before="120" w:after="120" w:line="240" w:lineRule="auto"/>
        <w:ind w:left="0" w:hanging="2"/>
        <w:jc w:val="both"/>
        <w:rPr>
          <w:i/>
          <w:color w:val="000000"/>
          <w:sz w:val="22"/>
          <w:szCs w:val="22"/>
        </w:rPr>
      </w:pPr>
    </w:p>
    <w:p w14:paraId="798620A9"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b/>
          <w:color w:val="000000"/>
          <w:sz w:val="24"/>
          <w:szCs w:val="24"/>
        </w:rPr>
        <w:t>K bodu 4</w:t>
      </w:r>
      <w:r>
        <w:rPr>
          <w:color w:val="000000"/>
          <w:sz w:val="24"/>
          <w:szCs w:val="24"/>
        </w:rPr>
        <w:t xml:space="preserve"> </w:t>
      </w:r>
    </w:p>
    <w:p w14:paraId="323548ED" w14:textId="77777777" w:rsidR="00F13F2D" w:rsidRDefault="00F13F2D" w:rsidP="00F13F2D">
      <w:pPr>
        <w:pBdr>
          <w:top w:val="nil"/>
          <w:left w:val="nil"/>
          <w:bottom w:val="nil"/>
          <w:right w:val="nil"/>
          <w:between w:val="nil"/>
        </w:pBdr>
        <w:spacing w:line="276" w:lineRule="auto"/>
        <w:ind w:leftChars="0" w:left="0" w:firstLineChars="0" w:firstLine="0"/>
        <w:jc w:val="both"/>
        <w:rPr>
          <w:color w:val="000000"/>
          <w:sz w:val="24"/>
          <w:szCs w:val="24"/>
        </w:rPr>
      </w:pPr>
      <w:r>
        <w:rPr>
          <w:color w:val="000000"/>
          <w:sz w:val="24"/>
          <w:szCs w:val="24"/>
        </w:rPr>
        <w:t>Informace ke smlouvě budoucí na předání odpadu od akcionářů</w:t>
      </w:r>
    </w:p>
    <w:p w14:paraId="7490F185" w14:textId="53AF4FBB"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Smlouva týkat jak směsných, tak i tříděných komunálních odpadů do dotřiďovací linky po jejím spuštění. </w:t>
      </w:r>
      <w:r w:rsidR="00F13F2D">
        <w:rPr>
          <w:color w:val="000000"/>
          <w:sz w:val="24"/>
          <w:szCs w:val="24"/>
        </w:rPr>
        <w:t>Smlouva na alespoň 50% kapacity zařízení je podmínkou pro podání žádosti o dotaci.</w:t>
      </w:r>
    </w:p>
    <w:p w14:paraId="778E7D64" w14:textId="77777777" w:rsidR="00403DF2" w:rsidRDefault="00000000">
      <w:pPr>
        <w:pBdr>
          <w:top w:val="nil"/>
          <w:left w:val="nil"/>
          <w:bottom w:val="nil"/>
          <w:right w:val="nil"/>
          <w:between w:val="nil"/>
        </w:pBdr>
        <w:tabs>
          <w:tab w:val="left" w:pos="1134"/>
        </w:tabs>
        <w:spacing w:before="120" w:after="120" w:line="240" w:lineRule="auto"/>
        <w:ind w:left="0" w:hanging="2"/>
        <w:jc w:val="both"/>
        <w:rPr>
          <w:color w:val="000000"/>
          <w:sz w:val="24"/>
          <w:szCs w:val="24"/>
        </w:rPr>
      </w:pPr>
      <w:r>
        <w:rPr>
          <w:color w:val="000000"/>
          <w:sz w:val="24"/>
          <w:szCs w:val="24"/>
        </w:rPr>
        <w:t>O bodě 4 se nehlasuje.</w:t>
      </w:r>
    </w:p>
    <w:p w14:paraId="306D4BC2" w14:textId="77777777" w:rsidR="00403DF2" w:rsidRDefault="00403DF2">
      <w:pPr>
        <w:pBdr>
          <w:top w:val="nil"/>
          <w:left w:val="nil"/>
          <w:bottom w:val="nil"/>
          <w:right w:val="nil"/>
          <w:between w:val="nil"/>
        </w:pBdr>
        <w:tabs>
          <w:tab w:val="left" w:pos="1134"/>
        </w:tabs>
        <w:spacing w:before="120" w:after="120" w:line="240" w:lineRule="auto"/>
        <w:ind w:left="0" w:hanging="2"/>
        <w:jc w:val="both"/>
        <w:rPr>
          <w:color w:val="000000"/>
          <w:sz w:val="24"/>
          <w:szCs w:val="24"/>
        </w:rPr>
      </w:pPr>
    </w:p>
    <w:p w14:paraId="6C0010A4"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b/>
          <w:color w:val="000000"/>
          <w:sz w:val="24"/>
          <w:szCs w:val="24"/>
        </w:rPr>
        <w:t>K bodu 5</w:t>
      </w:r>
      <w:r>
        <w:rPr>
          <w:color w:val="000000"/>
          <w:sz w:val="24"/>
          <w:szCs w:val="24"/>
        </w:rPr>
        <w:t xml:space="preserve"> </w:t>
      </w:r>
    </w:p>
    <w:p w14:paraId="598B4223"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Informace o plánovaném prodeji akcií novým akcionářům a informace o způsobu budoucího modelu </w:t>
      </w:r>
      <w:proofErr w:type="spellStart"/>
      <w:r>
        <w:rPr>
          <w:color w:val="000000"/>
          <w:sz w:val="24"/>
          <w:szCs w:val="24"/>
        </w:rPr>
        <w:t>příjmání</w:t>
      </w:r>
      <w:proofErr w:type="spellEnd"/>
      <w:r>
        <w:rPr>
          <w:color w:val="000000"/>
          <w:sz w:val="24"/>
          <w:szCs w:val="24"/>
        </w:rPr>
        <w:t xml:space="preserve"> nových akcionářů skrze SSOOK a spolek Odpady Olomouckého kraje, </w:t>
      </w:r>
      <w:proofErr w:type="spellStart"/>
      <w:r>
        <w:rPr>
          <w:color w:val="000000"/>
          <w:sz w:val="24"/>
          <w:szCs w:val="24"/>
        </w:rPr>
        <w:t>z.s</w:t>
      </w:r>
      <w:proofErr w:type="spellEnd"/>
      <w:r>
        <w:rPr>
          <w:color w:val="000000"/>
          <w:sz w:val="24"/>
          <w:szCs w:val="24"/>
        </w:rPr>
        <w:t xml:space="preserve">. </w:t>
      </w:r>
    </w:p>
    <w:p w14:paraId="4E751B8B"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Pro vstup nových akcionářů, kteří budou moci využívat krajskou odpadovou infrastrukturu</w:t>
      </w:r>
      <w:r>
        <w:rPr>
          <w:color w:val="FF0000"/>
          <w:sz w:val="24"/>
          <w:szCs w:val="24"/>
        </w:rPr>
        <w:t>,</w:t>
      </w:r>
      <w:r>
        <w:rPr>
          <w:color w:val="000000"/>
          <w:sz w:val="24"/>
          <w:szCs w:val="24"/>
        </w:rPr>
        <w:t xml:space="preserve"> bude nutné vytvořit podmínky. Bude odprezentován model odprodeje akcií pro vstup nových akcionářů. Model bude zaslán akcionářům nejpozději sedm dní před valnou hromadou a tedy 22.6.</w:t>
      </w:r>
    </w:p>
    <w:p w14:paraId="7DAE93BC"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2D66973F"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O bodě 5 se nehlasuje.</w:t>
      </w:r>
    </w:p>
    <w:p w14:paraId="53C520C8" w14:textId="77777777" w:rsidR="00403DF2" w:rsidRDefault="00403DF2">
      <w:pPr>
        <w:pBdr>
          <w:top w:val="nil"/>
          <w:left w:val="nil"/>
          <w:bottom w:val="nil"/>
          <w:right w:val="nil"/>
          <w:between w:val="nil"/>
        </w:pBdr>
        <w:tabs>
          <w:tab w:val="left" w:pos="426"/>
        </w:tabs>
        <w:spacing w:after="120" w:line="276" w:lineRule="auto"/>
        <w:ind w:left="0" w:hanging="2"/>
        <w:rPr>
          <w:color w:val="000000"/>
          <w:sz w:val="24"/>
          <w:szCs w:val="24"/>
        </w:rPr>
      </w:pPr>
    </w:p>
    <w:p w14:paraId="4C876AC7" w14:textId="77777777" w:rsidR="00403DF2" w:rsidRDefault="00000000">
      <w:pPr>
        <w:pBdr>
          <w:top w:val="nil"/>
          <w:left w:val="nil"/>
          <w:bottom w:val="nil"/>
          <w:right w:val="nil"/>
          <w:between w:val="nil"/>
        </w:pBdr>
        <w:tabs>
          <w:tab w:val="left" w:pos="426"/>
        </w:tabs>
        <w:spacing w:after="120" w:line="276" w:lineRule="auto"/>
        <w:ind w:left="0" w:hanging="2"/>
        <w:rPr>
          <w:color w:val="000000"/>
          <w:sz w:val="24"/>
          <w:szCs w:val="24"/>
        </w:rPr>
      </w:pPr>
      <w:r>
        <w:rPr>
          <w:b/>
          <w:color w:val="000000"/>
          <w:sz w:val="24"/>
          <w:szCs w:val="24"/>
        </w:rPr>
        <w:t>K bodům 6 a 7</w:t>
      </w:r>
    </w:p>
    <w:p w14:paraId="02183122"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 xml:space="preserve">Představenstvo je povinno v souladu s ustanovením § 436 odst. 2 ZOK připravit zprávu o podnikatelské činnosti společnosti a o stavu jejího majetku za dané účetní období (v případě společnosti za kalendářní rok). Dále je představenstvo povinno v souladu s ustanovením § 82 ZOK vypracovat zprávu o vztazích. Společnost v souladu s z. č. 563/1991 Sb., o účetnictví, ve znění pozdějších předpisů, není povinna vyhotovit výroční zprávu, proto představenstvo předkládá pouze výše uvedenou zprávu o podnikatelské činnosti. </w:t>
      </w:r>
    </w:p>
    <w:p w14:paraId="75219AD9"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ab/>
        <w:t xml:space="preserve">V souladu s čl. 19. odst. 1 stanov společnosti dozorčí rada společnosti dohlíží na výkon působnosti představenstva. </w:t>
      </w:r>
    </w:p>
    <w:p w14:paraId="253E6B33"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ab/>
        <w:t>Ve smyslu ustanovení § 447 odst. 3 ZOK přezkoumává dozorčí rada řádnou účetní závěrku společnosti a návrh na rozhodnutí o rozdělení zisku za 2021 a svá vyjádření předkládá valné hromadě.</w:t>
      </w:r>
    </w:p>
    <w:p w14:paraId="66A35160"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Dle ustanovení § 83 a násl. ZOK dozorčí rada společnosti přezkoumává zprávu o vztazích a předkládá valné hromadě svá stanoviska.</w:t>
      </w:r>
    </w:p>
    <w:p w14:paraId="2275C584"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1B27132D" w14:textId="77777777" w:rsidR="00403DF2" w:rsidRDefault="00000000">
      <w:pPr>
        <w:pBdr>
          <w:top w:val="nil"/>
          <w:left w:val="nil"/>
          <w:bottom w:val="nil"/>
          <w:right w:val="nil"/>
          <w:between w:val="nil"/>
        </w:pBdr>
        <w:spacing w:line="276" w:lineRule="auto"/>
        <w:ind w:left="0" w:hanging="2"/>
        <w:jc w:val="both"/>
        <w:rPr>
          <w:color w:val="000000"/>
          <w:sz w:val="24"/>
          <w:szCs w:val="24"/>
        </w:rPr>
      </w:pPr>
      <w:r>
        <w:rPr>
          <w:color w:val="000000"/>
          <w:sz w:val="24"/>
          <w:szCs w:val="24"/>
        </w:rPr>
        <w:t>O bodech 6 a 7 se nehlasuje.</w:t>
      </w:r>
    </w:p>
    <w:p w14:paraId="45175DFE"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2C7DBF67" w14:textId="77777777" w:rsidR="00403DF2" w:rsidRDefault="00000000">
      <w:pPr>
        <w:pBdr>
          <w:top w:val="nil"/>
          <w:left w:val="nil"/>
          <w:bottom w:val="nil"/>
          <w:right w:val="nil"/>
          <w:between w:val="nil"/>
        </w:pBdr>
        <w:spacing w:line="276" w:lineRule="auto"/>
        <w:ind w:left="0" w:hanging="2"/>
        <w:rPr>
          <w:color w:val="000000"/>
          <w:sz w:val="24"/>
          <w:szCs w:val="24"/>
        </w:rPr>
      </w:pPr>
      <w:r>
        <w:rPr>
          <w:b/>
          <w:color w:val="000000"/>
          <w:sz w:val="24"/>
          <w:szCs w:val="24"/>
        </w:rPr>
        <w:t>K bodu 8</w:t>
      </w:r>
    </w:p>
    <w:p w14:paraId="6F249BFF" w14:textId="77777777" w:rsidR="00403DF2" w:rsidRDefault="00000000">
      <w:pPr>
        <w:pBdr>
          <w:top w:val="nil"/>
          <w:left w:val="nil"/>
          <w:bottom w:val="nil"/>
          <w:right w:val="nil"/>
          <w:between w:val="nil"/>
        </w:pBdr>
        <w:spacing w:before="120" w:after="120" w:line="240" w:lineRule="auto"/>
        <w:ind w:left="0" w:hanging="2"/>
        <w:jc w:val="both"/>
        <w:rPr>
          <w:color w:val="000000"/>
          <w:sz w:val="24"/>
          <w:szCs w:val="24"/>
        </w:rPr>
      </w:pPr>
      <w:r>
        <w:rPr>
          <w:color w:val="000000"/>
          <w:sz w:val="24"/>
          <w:szCs w:val="24"/>
        </w:rPr>
        <w:t xml:space="preserve">Valná hromada Společnosti ve smyslu ustanovení § 421 odst. 2 písm. g) ZOK a Článku 8. odst. 3 písm. f) stanov Společnosti rozhoduje o schválení řádné účetní závěrky Společnosti. Valné hromadě Společnosti je předkládán návrh na schválení účetní závěrky za rok 2021. </w:t>
      </w:r>
    </w:p>
    <w:p w14:paraId="6A816DB6" w14:textId="77777777" w:rsidR="00403DF2" w:rsidRDefault="00000000">
      <w:pPr>
        <w:pBdr>
          <w:top w:val="nil"/>
          <w:left w:val="nil"/>
          <w:bottom w:val="nil"/>
          <w:right w:val="nil"/>
          <w:between w:val="nil"/>
        </w:pBdr>
        <w:spacing w:before="120" w:after="120" w:line="240" w:lineRule="auto"/>
        <w:ind w:left="0" w:hanging="2"/>
        <w:jc w:val="both"/>
        <w:rPr>
          <w:color w:val="000000"/>
          <w:sz w:val="24"/>
          <w:szCs w:val="24"/>
        </w:rPr>
      </w:pPr>
      <w:r>
        <w:rPr>
          <w:color w:val="000000"/>
          <w:sz w:val="24"/>
          <w:szCs w:val="24"/>
        </w:rPr>
        <w:t xml:space="preserve">Vybrané údaje z účetní závěrky Společnosti za rok 2021 (v celých tisících Kč): </w:t>
      </w:r>
    </w:p>
    <w:p w14:paraId="025AC480" w14:textId="77777777" w:rsidR="00403DF2" w:rsidRDefault="00403DF2">
      <w:pPr>
        <w:pBdr>
          <w:top w:val="nil"/>
          <w:left w:val="nil"/>
          <w:bottom w:val="nil"/>
          <w:right w:val="nil"/>
          <w:between w:val="nil"/>
        </w:pBdr>
        <w:spacing w:line="240" w:lineRule="auto"/>
        <w:ind w:left="0" w:hanging="2"/>
        <w:rPr>
          <w:color w:val="000000"/>
          <w:sz w:val="22"/>
          <w:szCs w:val="22"/>
        </w:rPr>
      </w:pP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1"/>
        <w:gridCol w:w="4399"/>
      </w:tblGrid>
      <w:tr w:rsidR="00403DF2" w14:paraId="2C49969E" w14:textId="77777777">
        <w:trPr>
          <w:trHeight w:val="100"/>
        </w:trPr>
        <w:tc>
          <w:tcPr>
            <w:tcW w:w="4781" w:type="dxa"/>
          </w:tcPr>
          <w:p w14:paraId="6F310CC2" w14:textId="77777777" w:rsidR="00403DF2"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Aktiva celkem </w:t>
            </w:r>
          </w:p>
        </w:tc>
        <w:tc>
          <w:tcPr>
            <w:tcW w:w="4399" w:type="dxa"/>
          </w:tcPr>
          <w:p w14:paraId="47C35967" w14:textId="77777777" w:rsidR="00403DF2"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6.696 tis. Kč</w:t>
            </w:r>
          </w:p>
        </w:tc>
      </w:tr>
      <w:tr w:rsidR="00403DF2" w14:paraId="6F3EEE34" w14:textId="77777777">
        <w:trPr>
          <w:trHeight w:val="473"/>
        </w:trPr>
        <w:tc>
          <w:tcPr>
            <w:tcW w:w="4781" w:type="dxa"/>
          </w:tcPr>
          <w:p w14:paraId="1E23E8D8" w14:textId="77777777" w:rsidR="00403DF2"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Pasiva celkem </w:t>
            </w:r>
          </w:p>
        </w:tc>
        <w:tc>
          <w:tcPr>
            <w:tcW w:w="4399" w:type="dxa"/>
          </w:tcPr>
          <w:p w14:paraId="62A857D8" w14:textId="77777777" w:rsidR="00403DF2"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6.696 tis. Kč</w:t>
            </w:r>
          </w:p>
        </w:tc>
      </w:tr>
      <w:tr w:rsidR="00403DF2" w14:paraId="15A16CCF" w14:textId="77777777">
        <w:trPr>
          <w:trHeight w:val="226"/>
        </w:trPr>
        <w:tc>
          <w:tcPr>
            <w:tcW w:w="4781" w:type="dxa"/>
          </w:tcPr>
          <w:p w14:paraId="5C4540F1" w14:textId="77777777" w:rsidR="00403DF2"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Hospodářský výsledek účetního období </w:t>
            </w:r>
          </w:p>
        </w:tc>
        <w:tc>
          <w:tcPr>
            <w:tcW w:w="4399" w:type="dxa"/>
          </w:tcPr>
          <w:p w14:paraId="67D947B9" w14:textId="77777777" w:rsidR="00403DF2"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-220 tis. Kč</w:t>
            </w:r>
          </w:p>
        </w:tc>
      </w:tr>
    </w:tbl>
    <w:p w14:paraId="6CD80A8D" w14:textId="77777777" w:rsidR="00403DF2" w:rsidRDefault="00403DF2">
      <w:pPr>
        <w:pBdr>
          <w:top w:val="nil"/>
          <w:left w:val="nil"/>
          <w:bottom w:val="nil"/>
          <w:right w:val="nil"/>
          <w:between w:val="nil"/>
        </w:pBdr>
        <w:spacing w:before="120" w:after="120" w:line="240" w:lineRule="auto"/>
        <w:ind w:left="0" w:hanging="2"/>
        <w:jc w:val="both"/>
        <w:rPr>
          <w:color w:val="000000"/>
          <w:sz w:val="24"/>
          <w:szCs w:val="24"/>
        </w:rPr>
      </w:pPr>
    </w:p>
    <w:p w14:paraId="3719BCC2" w14:textId="77777777" w:rsidR="00403DF2" w:rsidRDefault="00000000">
      <w:pPr>
        <w:pBdr>
          <w:top w:val="nil"/>
          <w:left w:val="nil"/>
          <w:bottom w:val="nil"/>
          <w:right w:val="nil"/>
          <w:between w:val="nil"/>
        </w:pBdr>
        <w:spacing w:before="120" w:after="120" w:line="240" w:lineRule="auto"/>
        <w:ind w:left="0" w:hanging="2"/>
        <w:jc w:val="both"/>
        <w:rPr>
          <w:color w:val="000000"/>
          <w:sz w:val="24"/>
          <w:szCs w:val="24"/>
        </w:rPr>
      </w:pPr>
      <w:r>
        <w:rPr>
          <w:color w:val="000000"/>
          <w:sz w:val="24"/>
          <w:szCs w:val="24"/>
        </w:rPr>
        <w:t xml:space="preserve">Valná hromada Společnosti ve smyslu ustanovení § 421 odst. 2 písm. h) ZOK a Článku 8. odst. 3 písm. g) stanov Společnosti rozhoduje o naložení s výsledkem hospodaření Společnosti, resp. o rozdělení zisku nebo úhradě ztráty. </w:t>
      </w:r>
    </w:p>
    <w:p w14:paraId="716B29ED" w14:textId="77777777" w:rsidR="00403DF2" w:rsidRDefault="00000000">
      <w:pPr>
        <w:pBdr>
          <w:top w:val="nil"/>
          <w:left w:val="nil"/>
          <w:bottom w:val="nil"/>
          <w:right w:val="nil"/>
          <w:between w:val="nil"/>
        </w:pBdr>
        <w:spacing w:before="120" w:after="120" w:line="240" w:lineRule="auto"/>
        <w:ind w:left="0" w:hanging="2"/>
        <w:jc w:val="both"/>
        <w:rPr>
          <w:color w:val="000000"/>
          <w:sz w:val="24"/>
          <w:szCs w:val="24"/>
        </w:rPr>
      </w:pPr>
      <w:r>
        <w:rPr>
          <w:color w:val="000000"/>
          <w:sz w:val="24"/>
          <w:szCs w:val="24"/>
        </w:rPr>
        <w:t>Společnost nevykonávala v roce 2021 žádnou činnost, a tedy nemohla generovat ani žádné zisky. Společnost je aktuálně připravena do budoucna plnit svůj účel, pro který byla založena, a to realizovat projekt na využívání zbytkových směsných komunálních odpadů na území Olomouckého kraje pro obce na území Olomouckého kraje.</w:t>
      </w:r>
    </w:p>
    <w:p w14:paraId="373465EE" w14:textId="77777777" w:rsidR="00403DF2" w:rsidRDefault="00000000">
      <w:pPr>
        <w:pBdr>
          <w:top w:val="nil"/>
          <w:left w:val="nil"/>
          <w:bottom w:val="nil"/>
          <w:right w:val="nil"/>
          <w:between w:val="nil"/>
        </w:pBdr>
        <w:spacing w:before="120" w:after="120" w:line="240" w:lineRule="auto"/>
        <w:ind w:left="0" w:hanging="2"/>
        <w:jc w:val="both"/>
        <w:rPr>
          <w:color w:val="000000"/>
          <w:sz w:val="24"/>
          <w:szCs w:val="24"/>
        </w:rPr>
      </w:pPr>
      <w:r>
        <w:rPr>
          <w:color w:val="000000"/>
          <w:sz w:val="24"/>
          <w:szCs w:val="24"/>
        </w:rPr>
        <w:t>Valné hromadě je předkládán návrh na rozhodnutí o způsobu vypořádání výsledku hospodaření Společnosti za rok 2021, a to konkrétně převedení ztráty na účet neuhrazené ztráty minulých let.</w:t>
      </w:r>
    </w:p>
    <w:p w14:paraId="7037269D" w14:textId="77777777" w:rsidR="00403DF2" w:rsidRDefault="00403DF2">
      <w:pPr>
        <w:pBdr>
          <w:top w:val="nil"/>
          <w:left w:val="nil"/>
          <w:bottom w:val="nil"/>
          <w:right w:val="nil"/>
          <w:between w:val="nil"/>
        </w:pBdr>
        <w:spacing w:after="200" w:line="276" w:lineRule="auto"/>
        <w:ind w:left="0" w:hanging="2"/>
        <w:jc w:val="both"/>
        <w:rPr>
          <w:b/>
          <w:color w:val="000000"/>
          <w:sz w:val="22"/>
          <w:szCs w:val="22"/>
        </w:rPr>
      </w:pPr>
    </w:p>
    <w:p w14:paraId="0ED135FF" w14:textId="77777777" w:rsidR="00403DF2" w:rsidRDefault="00000000">
      <w:pPr>
        <w:pBdr>
          <w:top w:val="nil"/>
          <w:left w:val="nil"/>
          <w:bottom w:val="nil"/>
          <w:right w:val="nil"/>
          <w:between w:val="nil"/>
        </w:pBdr>
        <w:spacing w:after="200" w:line="276" w:lineRule="auto"/>
        <w:ind w:left="0" w:hanging="2"/>
        <w:jc w:val="both"/>
        <w:rPr>
          <w:color w:val="000000"/>
          <w:sz w:val="22"/>
          <w:szCs w:val="22"/>
        </w:rPr>
      </w:pPr>
      <w:r>
        <w:rPr>
          <w:b/>
          <w:color w:val="000000"/>
          <w:sz w:val="22"/>
          <w:szCs w:val="22"/>
        </w:rPr>
        <w:t>Návrh usnesení:</w:t>
      </w:r>
    </w:p>
    <w:p w14:paraId="0B112CEA" w14:textId="77777777" w:rsidR="00403DF2" w:rsidRDefault="00000000">
      <w:pPr>
        <w:pBdr>
          <w:top w:val="nil"/>
          <w:left w:val="nil"/>
          <w:bottom w:val="nil"/>
          <w:right w:val="nil"/>
          <w:between w:val="nil"/>
        </w:pBdr>
        <w:tabs>
          <w:tab w:val="left" w:pos="1134"/>
        </w:tabs>
        <w:spacing w:before="120" w:after="120" w:line="240" w:lineRule="auto"/>
        <w:ind w:left="0" w:hanging="2"/>
        <w:jc w:val="both"/>
        <w:rPr>
          <w:color w:val="000000"/>
          <w:sz w:val="22"/>
          <w:szCs w:val="22"/>
        </w:rPr>
      </w:pPr>
      <w:r>
        <w:rPr>
          <w:i/>
          <w:color w:val="000000"/>
          <w:sz w:val="22"/>
          <w:szCs w:val="22"/>
        </w:rPr>
        <w:t>„Valná hromada tímto schvaluje řádnou účetní závěrku Společnosti za rok 2021 sestavenou ke dni 31.12.2021, přičemž bere na vědomí, že Společnost vykázala v roce 2021 ztrátu ve výši 220 tis. Kč.“</w:t>
      </w:r>
    </w:p>
    <w:p w14:paraId="2CF4C61B"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4560BD05" w14:textId="77777777" w:rsidR="00403DF2" w:rsidRDefault="00000000">
      <w:pPr>
        <w:pBdr>
          <w:top w:val="nil"/>
          <w:left w:val="nil"/>
          <w:bottom w:val="nil"/>
          <w:right w:val="nil"/>
          <w:between w:val="nil"/>
        </w:pBdr>
        <w:tabs>
          <w:tab w:val="left" w:pos="1134"/>
        </w:tabs>
        <w:spacing w:before="120" w:after="120" w:line="240" w:lineRule="auto"/>
        <w:ind w:left="0" w:hanging="2"/>
        <w:jc w:val="both"/>
        <w:rPr>
          <w:color w:val="000000"/>
          <w:sz w:val="22"/>
          <w:szCs w:val="22"/>
        </w:rPr>
      </w:pPr>
      <w:r>
        <w:rPr>
          <w:b/>
          <w:color w:val="000000"/>
          <w:sz w:val="22"/>
          <w:szCs w:val="22"/>
        </w:rPr>
        <w:t>Návrh usnesení:</w:t>
      </w:r>
    </w:p>
    <w:p w14:paraId="2B404009" w14:textId="77777777" w:rsidR="00403DF2" w:rsidRDefault="00000000">
      <w:pPr>
        <w:pBdr>
          <w:top w:val="nil"/>
          <w:left w:val="nil"/>
          <w:bottom w:val="nil"/>
          <w:right w:val="nil"/>
          <w:between w:val="nil"/>
        </w:pBdr>
        <w:tabs>
          <w:tab w:val="left" w:pos="426"/>
        </w:tabs>
        <w:spacing w:after="120" w:line="240" w:lineRule="auto"/>
        <w:ind w:left="0" w:hanging="2"/>
        <w:jc w:val="both"/>
        <w:rPr>
          <w:color w:val="000000"/>
          <w:sz w:val="22"/>
          <w:szCs w:val="22"/>
        </w:rPr>
      </w:pPr>
      <w:r>
        <w:rPr>
          <w:i/>
          <w:color w:val="000000"/>
          <w:sz w:val="22"/>
          <w:szCs w:val="22"/>
        </w:rPr>
        <w:t>„Valná hromada tímto rozhoduje o tom, že ztráta Společnosti za rok 2021 ve výši 220 tis. Kč bude převedena na účet neuhrazené ztráty minulých let.“</w:t>
      </w:r>
    </w:p>
    <w:p w14:paraId="5AE55D3A" w14:textId="77777777" w:rsidR="00403DF2" w:rsidRDefault="00403DF2">
      <w:pPr>
        <w:pBdr>
          <w:top w:val="nil"/>
          <w:left w:val="nil"/>
          <w:bottom w:val="nil"/>
          <w:right w:val="nil"/>
          <w:between w:val="nil"/>
        </w:pBdr>
        <w:tabs>
          <w:tab w:val="left" w:pos="1134"/>
        </w:tabs>
        <w:spacing w:before="120" w:after="120" w:line="240" w:lineRule="auto"/>
        <w:ind w:left="0" w:hanging="2"/>
        <w:jc w:val="both"/>
        <w:rPr>
          <w:color w:val="000000"/>
          <w:sz w:val="24"/>
          <w:szCs w:val="24"/>
        </w:rPr>
      </w:pPr>
    </w:p>
    <w:p w14:paraId="2C36709C" w14:textId="77777777" w:rsidR="00403DF2" w:rsidRDefault="00403DF2">
      <w:pPr>
        <w:pBdr>
          <w:top w:val="nil"/>
          <w:left w:val="nil"/>
          <w:bottom w:val="nil"/>
          <w:right w:val="nil"/>
          <w:between w:val="nil"/>
        </w:pBdr>
        <w:tabs>
          <w:tab w:val="left" w:pos="1134"/>
        </w:tabs>
        <w:spacing w:before="120" w:after="120" w:line="240" w:lineRule="auto"/>
        <w:ind w:left="0" w:hanging="2"/>
        <w:jc w:val="both"/>
        <w:rPr>
          <w:color w:val="000000"/>
          <w:sz w:val="24"/>
          <w:szCs w:val="24"/>
        </w:rPr>
      </w:pPr>
    </w:p>
    <w:p w14:paraId="3F8AD1C9" w14:textId="77777777" w:rsidR="00403DF2" w:rsidRDefault="00403DF2">
      <w:pPr>
        <w:pBdr>
          <w:top w:val="nil"/>
          <w:left w:val="nil"/>
          <w:bottom w:val="nil"/>
          <w:right w:val="nil"/>
          <w:between w:val="nil"/>
        </w:pBdr>
        <w:spacing w:line="276" w:lineRule="auto"/>
        <w:ind w:left="0" w:hanging="2"/>
        <w:jc w:val="both"/>
        <w:rPr>
          <w:color w:val="000000"/>
          <w:sz w:val="24"/>
          <w:szCs w:val="24"/>
        </w:rPr>
      </w:pPr>
    </w:p>
    <w:p w14:paraId="4B9EDFF0" w14:textId="77777777" w:rsidR="00403DF2" w:rsidRDefault="00000000">
      <w:pPr>
        <w:pBdr>
          <w:top w:val="nil"/>
          <w:left w:val="nil"/>
          <w:bottom w:val="nil"/>
          <w:right w:val="nil"/>
          <w:between w:val="nil"/>
        </w:pBdr>
        <w:spacing w:line="276" w:lineRule="auto"/>
        <w:ind w:left="0" w:hanging="2"/>
        <w:rPr>
          <w:color w:val="000000"/>
          <w:sz w:val="24"/>
          <w:szCs w:val="24"/>
        </w:rPr>
      </w:pPr>
      <w:r>
        <w:rPr>
          <w:color w:val="000000"/>
          <w:sz w:val="24"/>
          <w:szCs w:val="24"/>
        </w:rPr>
        <w:t>V Olomouci dne …………</w:t>
      </w:r>
    </w:p>
    <w:p w14:paraId="2901E4D0" w14:textId="77777777" w:rsidR="00403DF2" w:rsidRDefault="00403DF2">
      <w:pPr>
        <w:pBdr>
          <w:top w:val="nil"/>
          <w:left w:val="nil"/>
          <w:bottom w:val="nil"/>
          <w:right w:val="nil"/>
          <w:between w:val="nil"/>
        </w:pBdr>
        <w:spacing w:line="276" w:lineRule="auto"/>
        <w:ind w:left="0" w:hanging="2"/>
        <w:rPr>
          <w:color w:val="000000"/>
          <w:sz w:val="24"/>
          <w:szCs w:val="24"/>
        </w:rPr>
      </w:pPr>
    </w:p>
    <w:p w14:paraId="48B3C53F" w14:textId="77777777" w:rsidR="00403DF2" w:rsidRDefault="00403DF2">
      <w:pPr>
        <w:pBdr>
          <w:top w:val="nil"/>
          <w:left w:val="nil"/>
          <w:bottom w:val="nil"/>
          <w:right w:val="nil"/>
          <w:between w:val="nil"/>
        </w:pBdr>
        <w:spacing w:line="276" w:lineRule="auto"/>
        <w:ind w:left="0" w:hanging="2"/>
        <w:rPr>
          <w:color w:val="000000"/>
          <w:sz w:val="24"/>
          <w:szCs w:val="24"/>
        </w:rPr>
      </w:pPr>
    </w:p>
    <w:p w14:paraId="33A2D8E1" w14:textId="77777777" w:rsidR="00403DF2" w:rsidRDefault="00403DF2">
      <w:pPr>
        <w:pBdr>
          <w:top w:val="nil"/>
          <w:left w:val="nil"/>
          <w:bottom w:val="nil"/>
          <w:right w:val="nil"/>
          <w:between w:val="nil"/>
        </w:pBdr>
        <w:spacing w:line="276" w:lineRule="auto"/>
        <w:ind w:left="0" w:hanging="2"/>
        <w:rPr>
          <w:color w:val="000000"/>
          <w:sz w:val="24"/>
          <w:szCs w:val="24"/>
        </w:rPr>
      </w:pPr>
    </w:p>
    <w:p w14:paraId="09670529" w14:textId="77777777" w:rsidR="00403DF2" w:rsidRDefault="00000000">
      <w:pPr>
        <w:pBdr>
          <w:top w:val="nil"/>
          <w:left w:val="nil"/>
          <w:bottom w:val="nil"/>
          <w:right w:val="nil"/>
          <w:between w:val="nil"/>
        </w:pBdr>
        <w:spacing w:line="276" w:lineRule="auto"/>
        <w:ind w:left="0" w:hanging="2"/>
        <w:rPr>
          <w:color w:val="000000"/>
          <w:sz w:val="24"/>
          <w:szCs w:val="24"/>
        </w:rPr>
      </w:pPr>
      <w:r>
        <w:rPr>
          <w:color w:val="000000"/>
          <w:sz w:val="24"/>
          <w:szCs w:val="24"/>
        </w:rPr>
        <w:t xml:space="preserve">_________________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w:t>
      </w:r>
    </w:p>
    <w:p w14:paraId="503DAC11" w14:textId="77777777" w:rsidR="00403DF2" w:rsidRDefault="00000000">
      <w:pPr>
        <w:pBdr>
          <w:top w:val="nil"/>
          <w:left w:val="nil"/>
          <w:bottom w:val="nil"/>
          <w:right w:val="nil"/>
          <w:between w:val="nil"/>
        </w:pBdr>
        <w:spacing w:line="276" w:lineRule="auto"/>
        <w:ind w:left="0" w:hanging="2"/>
        <w:rPr>
          <w:color w:val="000000"/>
          <w:sz w:val="24"/>
          <w:szCs w:val="24"/>
        </w:rPr>
      </w:pPr>
      <w:r>
        <w:rPr>
          <w:color w:val="000000"/>
          <w:sz w:val="24"/>
          <w:szCs w:val="24"/>
        </w:rPr>
        <w:t xml:space="preserve">Mgr. Miroslav </w:t>
      </w:r>
      <w:proofErr w:type="spellStart"/>
      <w:r>
        <w:rPr>
          <w:color w:val="000000"/>
          <w:sz w:val="24"/>
          <w:szCs w:val="24"/>
        </w:rPr>
        <w:t>Žbánek</w:t>
      </w:r>
      <w:proofErr w:type="spellEnd"/>
      <w:r>
        <w:rPr>
          <w:color w:val="000000"/>
          <w:sz w:val="24"/>
          <w:szCs w:val="24"/>
        </w:rPr>
        <w:t>, MPA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Ing. Aleš </w:t>
      </w:r>
      <w:proofErr w:type="spellStart"/>
      <w:r>
        <w:rPr>
          <w:color w:val="000000"/>
          <w:sz w:val="24"/>
          <w:szCs w:val="24"/>
        </w:rPr>
        <w:t>Matyášek</w:t>
      </w:r>
      <w:proofErr w:type="spellEnd"/>
    </w:p>
    <w:p w14:paraId="68FEEE87" w14:textId="77777777" w:rsidR="00403DF2" w:rsidRDefault="00000000">
      <w:pPr>
        <w:pBdr>
          <w:top w:val="nil"/>
          <w:left w:val="nil"/>
          <w:bottom w:val="nil"/>
          <w:right w:val="nil"/>
          <w:between w:val="nil"/>
        </w:pBdr>
        <w:spacing w:after="200" w:line="276" w:lineRule="auto"/>
        <w:ind w:left="0" w:hanging="2"/>
        <w:jc w:val="both"/>
        <w:rPr>
          <w:color w:val="000000"/>
          <w:sz w:val="24"/>
          <w:szCs w:val="24"/>
        </w:rPr>
      </w:pPr>
      <w:r>
        <w:rPr>
          <w:color w:val="000000"/>
          <w:sz w:val="24"/>
          <w:szCs w:val="24"/>
        </w:rPr>
        <w:t>Předseda představenstva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Místopředseda představenstva</w:t>
      </w:r>
    </w:p>
    <w:sectPr w:rsidR="00403DF2">
      <w:pgSz w:w="11906" w:h="16838"/>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7C0"/>
    <w:multiLevelType w:val="multilevel"/>
    <w:tmpl w:val="8C62EE8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 w15:restartNumberingAfterBreak="0">
    <w:nsid w:val="7EAE213D"/>
    <w:multiLevelType w:val="multilevel"/>
    <w:tmpl w:val="D278ED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29026755">
    <w:abstractNumId w:val="1"/>
  </w:num>
  <w:num w:numId="2" w16cid:durableId="148643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F2"/>
    <w:rsid w:val="00403DF2"/>
    <w:rsid w:val="00F13F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7BC09C2"/>
  <w15:docId w15:val="{EEA7FF39-DCE3-274C-B907-10F9949A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558"/>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rsid w:val="00DA2558"/>
    <w:pPr>
      <w:keepNext/>
      <w:numPr>
        <w:numId w:val="2"/>
      </w:numPr>
      <w:ind w:left="-1" w:hanging="1"/>
    </w:pPr>
    <w:rPr>
      <w:rFonts w:ascii="Arial" w:hAnsi="Arial"/>
      <w:sz w:val="24"/>
    </w:rPr>
  </w:style>
  <w:style w:type="paragraph" w:styleId="Nadpis2">
    <w:name w:val="heading 2"/>
    <w:basedOn w:val="Normln"/>
    <w:next w:val="Normln"/>
    <w:uiPriority w:val="9"/>
    <w:semiHidden/>
    <w:unhideWhenUsed/>
    <w:qFormat/>
    <w:rsid w:val="00DA2558"/>
    <w:pPr>
      <w:keepNext/>
      <w:numPr>
        <w:ilvl w:val="1"/>
        <w:numId w:val="2"/>
      </w:numPr>
      <w:ind w:left="-1" w:hanging="1"/>
      <w:jc w:val="center"/>
      <w:outlineLvl w:val="1"/>
    </w:pPr>
    <w:rPr>
      <w:rFonts w:ascii="Arial" w:hAnsi="Arial"/>
      <w:b/>
      <w:sz w:val="24"/>
      <w:u w:val="single"/>
    </w:rPr>
  </w:style>
  <w:style w:type="paragraph" w:styleId="Nadpis3">
    <w:name w:val="heading 3"/>
    <w:basedOn w:val="Normln"/>
    <w:next w:val="Normln"/>
    <w:uiPriority w:val="9"/>
    <w:semiHidden/>
    <w:unhideWhenUsed/>
    <w:qFormat/>
    <w:rsid w:val="00DA2558"/>
    <w:pPr>
      <w:keepNext/>
      <w:numPr>
        <w:ilvl w:val="2"/>
        <w:numId w:val="2"/>
      </w:numPr>
      <w:ind w:left="-1" w:hanging="1"/>
      <w:jc w:val="center"/>
      <w:outlineLvl w:val="2"/>
    </w:pPr>
    <w:rPr>
      <w:rFonts w:ascii="Arial" w:hAnsi="Arial"/>
      <w:sz w:val="24"/>
    </w:rPr>
  </w:style>
  <w:style w:type="paragraph" w:styleId="Nadpis4">
    <w:name w:val="heading 4"/>
    <w:basedOn w:val="Normln"/>
    <w:next w:val="Normln"/>
    <w:uiPriority w:val="9"/>
    <w:semiHidden/>
    <w:unhideWhenUsed/>
    <w:qFormat/>
    <w:rsid w:val="00DA2558"/>
    <w:pPr>
      <w:keepNext/>
      <w:widowControl w:val="0"/>
      <w:numPr>
        <w:ilvl w:val="3"/>
        <w:numId w:val="2"/>
      </w:numPr>
      <w:ind w:left="-1" w:hanging="1"/>
      <w:jc w:val="center"/>
      <w:outlineLvl w:val="3"/>
    </w:pPr>
    <w:rPr>
      <w:rFonts w:ascii="Arial" w:hAnsi="Arial"/>
      <w:b/>
      <w:sz w:val="24"/>
    </w:rPr>
  </w:style>
  <w:style w:type="paragraph" w:styleId="Nadpis5">
    <w:name w:val="heading 5"/>
    <w:basedOn w:val="Normln"/>
    <w:next w:val="Normln"/>
    <w:uiPriority w:val="9"/>
    <w:semiHidden/>
    <w:unhideWhenUsed/>
    <w:qFormat/>
    <w:rsid w:val="00DA2558"/>
    <w:pPr>
      <w:keepNext/>
      <w:widowControl w:val="0"/>
      <w:numPr>
        <w:ilvl w:val="4"/>
        <w:numId w:val="2"/>
      </w:numPr>
      <w:ind w:left="-1" w:hanging="1"/>
      <w:jc w:val="center"/>
      <w:outlineLvl w:val="4"/>
    </w:pPr>
    <w:rPr>
      <w:rFonts w:ascii="Arial" w:hAnsi="Arial"/>
      <w:b/>
      <w:sz w:val="24"/>
    </w:rPr>
  </w:style>
  <w:style w:type="paragraph" w:styleId="Nadpis6">
    <w:name w:val="heading 6"/>
    <w:basedOn w:val="Normln"/>
    <w:next w:val="Normln"/>
    <w:uiPriority w:val="9"/>
    <w:semiHidden/>
    <w:unhideWhenUsed/>
    <w:qFormat/>
    <w:rsid w:val="00DA2558"/>
    <w:pPr>
      <w:keepNext/>
      <w:widowControl w:val="0"/>
      <w:numPr>
        <w:ilvl w:val="5"/>
        <w:numId w:val="2"/>
      </w:numPr>
      <w:ind w:left="-1" w:hanging="1"/>
      <w:jc w:val="center"/>
      <w:outlineLvl w:val="5"/>
    </w:pPr>
    <w:rPr>
      <w:rFonts w:ascii="Arial" w:hAnsi="Arial"/>
      <w:b/>
      <w:sz w:val="24"/>
    </w:rPr>
  </w:style>
  <w:style w:type="paragraph" w:styleId="Nadpis7">
    <w:name w:val="heading 7"/>
    <w:basedOn w:val="Normln"/>
    <w:next w:val="Normln"/>
    <w:rsid w:val="00DA2558"/>
    <w:pPr>
      <w:keepNext/>
      <w:numPr>
        <w:ilvl w:val="6"/>
        <w:numId w:val="2"/>
      </w:numPr>
      <w:ind w:left="-1" w:hanging="1"/>
      <w:outlineLvl w:val="6"/>
    </w:pPr>
    <w:rPr>
      <w:rFonts w:ascii="Arial" w:hAnsi="Arial"/>
      <w:b/>
      <w:i/>
      <w:sz w:val="24"/>
    </w:rPr>
  </w:style>
  <w:style w:type="paragraph" w:styleId="Nadpis8">
    <w:name w:val="heading 8"/>
    <w:basedOn w:val="Normln"/>
    <w:next w:val="Normln"/>
    <w:qFormat/>
    <w:rsid w:val="00DA2558"/>
    <w:pPr>
      <w:numPr>
        <w:ilvl w:val="7"/>
        <w:numId w:val="2"/>
      </w:numPr>
      <w:spacing w:before="240" w:after="60"/>
      <w:ind w:left="-1" w:hanging="1"/>
      <w:outlineLvl w:val="7"/>
    </w:pPr>
    <w:rPr>
      <w:rFonts w:ascii="Calibri" w:hAnsi="Calibri"/>
      <w:i/>
      <w:iCs/>
      <w:sz w:val="24"/>
      <w:szCs w:val="24"/>
    </w:rPr>
  </w:style>
  <w:style w:type="paragraph" w:styleId="Nadpis9">
    <w:name w:val="heading 9"/>
    <w:basedOn w:val="Normln"/>
    <w:next w:val="Normln"/>
    <w:qFormat/>
    <w:rsid w:val="00DA2558"/>
    <w:pPr>
      <w:numPr>
        <w:ilvl w:val="8"/>
        <w:numId w:val="2"/>
      </w:numPr>
      <w:spacing w:before="240" w:after="60"/>
      <w:ind w:left="-1" w:hanging="1"/>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DA2558"/>
    <w:pPr>
      <w:keepNext/>
      <w:keepLines/>
      <w:spacing w:before="480" w:after="120"/>
    </w:pPr>
    <w:rPr>
      <w:b/>
      <w:sz w:val="72"/>
      <w:szCs w:val="72"/>
    </w:rPr>
  </w:style>
  <w:style w:type="paragraph" w:customStyle="1" w:styleId="Normln1">
    <w:name w:val="Normální1"/>
    <w:rsid w:val="00DA2558"/>
  </w:style>
  <w:style w:type="table" w:customStyle="1" w:styleId="TableNormal0">
    <w:name w:val="Table Normal"/>
    <w:rsid w:val="00DA2558"/>
    <w:tblPr>
      <w:tblCellMar>
        <w:top w:w="0" w:type="dxa"/>
        <w:left w:w="0" w:type="dxa"/>
        <w:bottom w:w="0" w:type="dxa"/>
        <w:right w:w="0" w:type="dxa"/>
      </w:tblCellMar>
    </w:tblPr>
  </w:style>
  <w:style w:type="character" w:customStyle="1" w:styleId="Nadpis1Char">
    <w:name w:val="Nadpis 1 Char"/>
    <w:rsid w:val="00DA2558"/>
    <w:rPr>
      <w:w w:val="100"/>
      <w:position w:val="-1"/>
      <w:sz w:val="24"/>
      <w:effect w:val="none"/>
      <w:vertAlign w:val="baseline"/>
      <w:cs w:val="0"/>
      <w:em w:val="none"/>
    </w:rPr>
  </w:style>
  <w:style w:type="character" w:customStyle="1" w:styleId="Nadpis2Char">
    <w:name w:val="Nadpis 2 Char"/>
    <w:rsid w:val="00DA2558"/>
    <w:rPr>
      <w:b/>
      <w:w w:val="100"/>
      <w:position w:val="-1"/>
      <w:sz w:val="24"/>
      <w:u w:val="single"/>
      <w:effect w:val="none"/>
      <w:vertAlign w:val="baseline"/>
      <w:cs w:val="0"/>
      <w:em w:val="none"/>
    </w:rPr>
  </w:style>
  <w:style w:type="character" w:customStyle="1" w:styleId="Nadpis3Char">
    <w:name w:val="Nadpis 3 Char"/>
    <w:rsid w:val="00DA2558"/>
    <w:rPr>
      <w:w w:val="100"/>
      <w:position w:val="-1"/>
      <w:sz w:val="24"/>
      <w:effect w:val="none"/>
      <w:vertAlign w:val="baseline"/>
      <w:cs w:val="0"/>
      <w:em w:val="none"/>
    </w:rPr>
  </w:style>
  <w:style w:type="character" w:customStyle="1" w:styleId="Nadpis4Char">
    <w:name w:val="Nadpis 4 Char"/>
    <w:rsid w:val="00DA2558"/>
    <w:rPr>
      <w:b/>
      <w:w w:val="100"/>
      <w:position w:val="-1"/>
      <w:sz w:val="24"/>
      <w:effect w:val="none"/>
      <w:vertAlign w:val="baseline"/>
      <w:cs w:val="0"/>
      <w:em w:val="none"/>
    </w:rPr>
  </w:style>
  <w:style w:type="character" w:customStyle="1" w:styleId="Nadpis5Char">
    <w:name w:val="Nadpis 5 Char"/>
    <w:rsid w:val="00DA2558"/>
    <w:rPr>
      <w:b/>
      <w:w w:val="100"/>
      <w:position w:val="-1"/>
      <w:sz w:val="24"/>
      <w:effect w:val="none"/>
      <w:vertAlign w:val="baseline"/>
      <w:cs w:val="0"/>
      <w:em w:val="none"/>
    </w:rPr>
  </w:style>
  <w:style w:type="character" w:customStyle="1" w:styleId="Nadpis6Char">
    <w:name w:val="Nadpis 6 Char"/>
    <w:rsid w:val="00DA2558"/>
    <w:rPr>
      <w:b/>
      <w:w w:val="100"/>
      <w:position w:val="-1"/>
      <w:sz w:val="24"/>
      <w:effect w:val="none"/>
      <w:vertAlign w:val="baseline"/>
      <w:cs w:val="0"/>
      <w:em w:val="none"/>
    </w:rPr>
  </w:style>
  <w:style w:type="character" w:customStyle="1" w:styleId="Nadpis7Char">
    <w:name w:val="Nadpis 7 Char"/>
    <w:rsid w:val="00DA2558"/>
    <w:rPr>
      <w:b/>
      <w:i/>
      <w:w w:val="100"/>
      <w:position w:val="-1"/>
      <w:sz w:val="24"/>
      <w:effect w:val="none"/>
      <w:vertAlign w:val="baseline"/>
      <w:cs w:val="0"/>
      <w:em w:val="none"/>
    </w:rPr>
  </w:style>
  <w:style w:type="character" w:customStyle="1" w:styleId="Nadpis8Char">
    <w:name w:val="Nadpis 8 Char"/>
    <w:rsid w:val="00DA2558"/>
    <w:rPr>
      <w:rFonts w:ascii="Calibri" w:eastAsia="Times New Roman" w:hAnsi="Calibri" w:cs="Times New Roman"/>
      <w:i/>
      <w:iCs/>
      <w:w w:val="100"/>
      <w:position w:val="-1"/>
      <w:sz w:val="24"/>
      <w:szCs w:val="24"/>
      <w:effect w:val="none"/>
      <w:vertAlign w:val="baseline"/>
      <w:cs w:val="0"/>
      <w:em w:val="none"/>
    </w:rPr>
  </w:style>
  <w:style w:type="character" w:customStyle="1" w:styleId="Nadpis9Char">
    <w:name w:val="Nadpis 9 Char"/>
    <w:rsid w:val="00DA2558"/>
    <w:rPr>
      <w:rFonts w:ascii="Cambria" w:eastAsia="Times New Roman" w:hAnsi="Cambria" w:cs="Times New Roman"/>
      <w:w w:val="100"/>
      <w:position w:val="-1"/>
      <w:effect w:val="none"/>
      <w:vertAlign w:val="baseline"/>
      <w:cs w:val="0"/>
      <w:em w:val="none"/>
      <w:lang w:eastAsia="cs-CZ"/>
    </w:rPr>
  </w:style>
  <w:style w:type="paragraph" w:styleId="Odstavecseseznamem">
    <w:name w:val="List Paragraph"/>
    <w:basedOn w:val="Normln"/>
    <w:rsid w:val="00DA2558"/>
    <w:pPr>
      <w:spacing w:after="200" w:line="276" w:lineRule="auto"/>
      <w:ind w:left="720"/>
      <w:contextualSpacing/>
    </w:pPr>
    <w:rPr>
      <w:rFonts w:ascii="Calibri" w:hAnsi="Calibri"/>
      <w:sz w:val="22"/>
      <w:szCs w:val="22"/>
      <w:lang w:eastAsia="en-US"/>
    </w:rPr>
  </w:style>
  <w:style w:type="paragraph" w:customStyle="1" w:styleId="Cislovani123">
    <w:name w:val="Cislovani 123"/>
    <w:basedOn w:val="Normln"/>
    <w:rsid w:val="00DA2558"/>
    <w:pPr>
      <w:tabs>
        <w:tab w:val="num" w:pos="720"/>
      </w:tabs>
      <w:overflowPunct w:val="0"/>
      <w:autoSpaceDE w:val="0"/>
      <w:autoSpaceDN w:val="0"/>
      <w:adjustRightInd w:val="0"/>
      <w:spacing w:line="360" w:lineRule="auto"/>
      <w:jc w:val="both"/>
      <w:textAlignment w:val="baseline"/>
    </w:pPr>
    <w:rPr>
      <w:rFonts w:ascii="Arial" w:hAnsi="Arial"/>
    </w:rPr>
  </w:style>
  <w:style w:type="character" w:customStyle="1" w:styleId="Cislovani123Char">
    <w:name w:val="Cislovani 123 Char"/>
    <w:rsid w:val="00DA2558"/>
    <w:rPr>
      <w:w w:val="100"/>
      <w:position w:val="-1"/>
      <w:effect w:val="none"/>
      <w:vertAlign w:val="baseline"/>
      <w:cs w:val="0"/>
      <w:em w:val="none"/>
    </w:rPr>
  </w:style>
  <w:style w:type="paragraph" w:styleId="Zkladntext">
    <w:name w:val="Body Text"/>
    <w:basedOn w:val="Normln"/>
    <w:rsid w:val="00DA2558"/>
    <w:pPr>
      <w:tabs>
        <w:tab w:val="left" w:pos="1134"/>
      </w:tabs>
      <w:spacing w:before="60" w:line="360" w:lineRule="auto"/>
      <w:jc w:val="both"/>
    </w:pPr>
    <w:rPr>
      <w:rFonts w:ascii="Arial" w:hAnsi="Arial"/>
      <w:noProof/>
      <w:sz w:val="24"/>
    </w:rPr>
  </w:style>
  <w:style w:type="character" w:customStyle="1" w:styleId="ZkladntextChar">
    <w:name w:val="Základní text Char"/>
    <w:rsid w:val="00DA2558"/>
    <w:rPr>
      <w:noProof/>
      <w:w w:val="100"/>
      <w:position w:val="-1"/>
      <w:sz w:val="24"/>
      <w:effect w:val="none"/>
      <w:vertAlign w:val="baseline"/>
      <w:cs w:val="0"/>
      <w:em w:val="none"/>
    </w:rPr>
  </w:style>
  <w:style w:type="character" w:customStyle="1" w:styleId="platne1">
    <w:name w:val="platne1"/>
    <w:basedOn w:val="Standardnpsmoodstavce"/>
    <w:rsid w:val="00DA2558"/>
    <w:rPr>
      <w:w w:val="100"/>
      <w:position w:val="-1"/>
      <w:effect w:val="none"/>
      <w:vertAlign w:val="baseline"/>
      <w:cs w:val="0"/>
      <w:em w:val="none"/>
    </w:rPr>
  </w:style>
  <w:style w:type="character" w:styleId="Hypertextovodkaz">
    <w:name w:val="Hyperlink"/>
    <w:qFormat/>
    <w:rsid w:val="00DA2558"/>
    <w:rPr>
      <w:color w:val="0000FF"/>
      <w:w w:val="100"/>
      <w:position w:val="-1"/>
      <w:u w:val="single"/>
      <w:effect w:val="none"/>
      <w:vertAlign w:val="baseline"/>
      <w:cs w:val="0"/>
      <w:em w:val="none"/>
    </w:rPr>
  </w:style>
  <w:style w:type="paragraph" w:customStyle="1" w:styleId="Default">
    <w:name w:val="Default"/>
    <w:rsid w:val="00DA2558"/>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lang w:eastAsia="en-US"/>
    </w:rPr>
  </w:style>
  <w:style w:type="character" w:styleId="Odkaznakoment">
    <w:name w:val="annotation reference"/>
    <w:qFormat/>
    <w:rsid w:val="00DA2558"/>
    <w:rPr>
      <w:w w:val="100"/>
      <w:position w:val="-1"/>
      <w:sz w:val="16"/>
      <w:szCs w:val="16"/>
      <w:effect w:val="none"/>
      <w:vertAlign w:val="baseline"/>
      <w:cs w:val="0"/>
      <w:em w:val="none"/>
    </w:rPr>
  </w:style>
  <w:style w:type="paragraph" w:styleId="Textkomente">
    <w:name w:val="annotation text"/>
    <w:basedOn w:val="Normln"/>
    <w:qFormat/>
    <w:rsid w:val="00DA2558"/>
  </w:style>
  <w:style w:type="character" w:customStyle="1" w:styleId="TextkomenteChar">
    <w:name w:val="Text komentáře Char"/>
    <w:rsid w:val="00DA2558"/>
    <w:rPr>
      <w:rFonts w:ascii="Times New Roman" w:hAnsi="Times New Roman"/>
      <w:w w:val="100"/>
      <w:position w:val="-1"/>
      <w:effect w:val="none"/>
      <w:vertAlign w:val="baseline"/>
      <w:cs w:val="0"/>
      <w:em w:val="none"/>
    </w:rPr>
  </w:style>
  <w:style w:type="paragraph" w:styleId="Pedmtkomente">
    <w:name w:val="annotation subject"/>
    <w:basedOn w:val="Textkomente"/>
    <w:next w:val="Textkomente"/>
    <w:qFormat/>
    <w:rsid w:val="00DA2558"/>
    <w:rPr>
      <w:b/>
      <w:bCs/>
    </w:rPr>
  </w:style>
  <w:style w:type="character" w:customStyle="1" w:styleId="PedmtkomenteChar">
    <w:name w:val="Předmět komentáře Char"/>
    <w:rsid w:val="00DA2558"/>
    <w:rPr>
      <w:rFonts w:ascii="Times New Roman" w:hAnsi="Times New Roman"/>
      <w:b/>
      <w:bCs/>
      <w:w w:val="100"/>
      <w:position w:val="-1"/>
      <w:effect w:val="none"/>
      <w:vertAlign w:val="baseline"/>
      <w:cs w:val="0"/>
      <w:em w:val="none"/>
    </w:rPr>
  </w:style>
  <w:style w:type="paragraph" w:styleId="Textbubliny">
    <w:name w:val="Balloon Text"/>
    <w:basedOn w:val="Normln"/>
    <w:qFormat/>
    <w:rsid w:val="00DA2558"/>
    <w:rPr>
      <w:rFonts w:ascii="Tahoma" w:hAnsi="Tahoma" w:cs="Tahoma"/>
      <w:sz w:val="16"/>
      <w:szCs w:val="16"/>
    </w:rPr>
  </w:style>
  <w:style w:type="character" w:customStyle="1" w:styleId="TextbublinyChar">
    <w:name w:val="Text bubliny Char"/>
    <w:rsid w:val="00DA2558"/>
    <w:rPr>
      <w:rFonts w:ascii="Tahoma" w:hAnsi="Tahoma" w:cs="Tahoma"/>
      <w:w w:val="100"/>
      <w:position w:val="-1"/>
      <w:sz w:val="16"/>
      <w:szCs w:val="16"/>
      <w:effect w:val="none"/>
      <w:vertAlign w:val="baseline"/>
      <w:cs w:val="0"/>
      <w:em w:val="none"/>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40" w:lineRule="auto"/>
      <w:ind w:left="0" w:firstLine="0"/>
    </w:pPr>
    <w:rPr>
      <w:rFonts w:ascii="Georgia" w:eastAsia="Georgia" w:hAnsi="Georgia" w:cs="Georgia"/>
      <w:i/>
      <w:color w:val="666666"/>
      <w:sz w:val="48"/>
      <w:szCs w:val="48"/>
    </w:rPr>
  </w:style>
  <w:style w:type="table" w:customStyle="1" w:styleId="a">
    <w:basedOn w:val="TableNormal0"/>
    <w:rsid w:val="00DA2558"/>
    <w:tblPr>
      <w:tblStyleRowBandSize w:val="1"/>
      <w:tblStyleColBandSize w:val="1"/>
      <w:tblCellMar>
        <w:left w:w="108" w:type="dxa"/>
        <w:right w:w="108" w:type="dxa"/>
      </w:tblCellMar>
    </w:tblPr>
  </w:style>
  <w:style w:type="paragraph" w:styleId="Revize">
    <w:name w:val="Revision"/>
    <w:hidden/>
    <w:uiPriority w:val="99"/>
    <w:semiHidden/>
    <w:rsid w:val="00E12374"/>
    <w:rPr>
      <w:position w:val="-1"/>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rvisnio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8L1MZp0xu4/7rF0JIkPz9ERZIw==">AMUW2mVCQaOA8UB+FizmY4XeBNY5Nc6BQHkqfvahuR64hbi2xEp777iP+gjK5+7homfyFCuhoJzkhatG/xLpylMgioYn4mVGX2L3eX0/HMA2f6r/1nIOGP4=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1193</Words>
  <Characters>7042</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Matyáš</dc:creator>
  <cp:lastModifiedBy>Nicol Václavíková</cp:lastModifiedBy>
  <cp:revision>2</cp:revision>
  <dcterms:created xsi:type="dcterms:W3CDTF">2022-05-20T01:04:00Z</dcterms:created>
  <dcterms:modified xsi:type="dcterms:W3CDTF">2022-06-21T10:09:00Z</dcterms:modified>
</cp:coreProperties>
</file>